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1"/>
        <w:widowControl w:val="false"/>
        <w:tabs>
          <w:tab w:val="clear" w:pos="708"/>
          <w:tab w:val="left" w:pos="284" w:leader="none"/>
        </w:tabs>
        <w:spacing w:lineRule="auto" w:line="240" w:before="0" w:after="0"/>
        <w:ind w:start="0"/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8"/>
        </w:rPr>
        <w:t>Техническое задание на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  <w:caps/>
        </w:rPr>
      </w:pPr>
      <w:r>
        <w:rPr>
          <w:rFonts w:ascii="PT Astra Serif" w:hAnsi="PT Astra Serif"/>
        </w:rPr>
        <w:t>проведение работ по</w:t>
      </w:r>
      <w:r>
        <w:rPr>
          <w:rFonts w:ascii="PT Astra Serif" w:hAnsi="PT Astra Serif"/>
          <w:b/>
        </w:rPr>
        <w:t xml:space="preserve"> капитальному ремонту транзитных участков автомобильных дорог Ульяновской области (устройство стационарного электрического освещения)</w:t>
      </w:r>
      <w:r>
        <w:rPr>
          <w:rFonts w:ascii="PT Astra Serif" w:hAnsi="PT Astra Serif"/>
        </w:rPr>
        <w:t xml:space="preserve"> (далее –Работа, Объект),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1.1. Место выполнения работ транзитные участки автомобильных дорог Ульяновской области: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1. </w:t>
      </w:r>
      <w:r>
        <w:rPr>
          <w:rFonts w:ascii="PT Astra Serif" w:hAnsi="PT Astra Serif"/>
        </w:rPr>
        <w:t>Автомобильная дорога Верхняя Маза – Средниково – Ореховка – ст. Рябина км 27+205 – км 28+205 Радищевского района Ульяновской области (ст. Рябина);</w:t>
      </w:r>
    </w:p>
    <w:p>
      <w:pPr>
        <w:pStyle w:val="Normal"/>
        <w:jc w:val="both"/>
        <w:rPr/>
      </w:pPr>
      <w:r>
        <w:rPr>
          <w:rFonts w:ascii="PT Astra Serif" w:hAnsi="PT Astra Serif"/>
        </w:rPr>
        <w:t xml:space="preserve">2. </w:t>
      </w:r>
      <w:r>
        <w:rPr>
          <w:rFonts w:ascii="PT Astra Serif" w:hAnsi="PT Astra Serif"/>
          <w:sz w:val="22"/>
        </w:rPr>
        <w:t>Автомобильная дорога Ст. Рябина – Вязовка км 0+000 – км 0+200 Радищевского района Ульяновской области (ст. Рябина);</w:t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3. Автомобильная дорога Большие Ключищи – Сенгилей – Елаур – Молвино – Байдулино км 90+000 – км 90+591 Тереньгульского района Ульяновской области (ст. Молвино);</w:t>
      </w:r>
    </w:p>
    <w:p>
      <w:pPr>
        <w:pStyle w:val="Normal"/>
        <w:jc w:val="both"/>
        <w:rPr/>
      </w:pPr>
      <w:r>
        <w:rPr>
          <w:rFonts w:ascii="PT Astra Serif" w:hAnsi="PT Astra Serif"/>
        </w:rPr>
        <w:t>4</w:t>
      </w:r>
      <w:r>
        <w:rPr>
          <w:rFonts w:ascii="PT Astra Serif" w:hAnsi="PT Astra Serif"/>
          <w:sz w:val="22"/>
        </w:rPr>
        <w:t>. Автомобильная дорога Елшанка – Алешкино – Большая Борла км 0+620 – км 3+160 Тереньгульского района Ульяновской области (с. Елшанка);</w:t>
      </w:r>
    </w:p>
    <w:p>
      <w:pPr>
        <w:pStyle w:val="Normal"/>
        <w:jc w:val="both"/>
        <w:rPr/>
      </w:pPr>
      <w:r>
        <w:rPr>
          <w:rFonts w:ascii="PT Astra Serif" w:hAnsi="PT Astra Serif"/>
          <w:sz w:val="22"/>
        </w:rPr>
        <w:t xml:space="preserve">5. </w:t>
      </w:r>
      <w:r>
        <w:rPr>
          <w:rFonts w:ascii="PT Astra Serif" w:hAnsi="PT Astra Serif"/>
        </w:rPr>
        <w:t>Автомобильная дорога Большое Нагаткино – Солнце  км 0+000 – км 0+376 Цильнинского района Ульяновской области (р.п. Большое Нагаткино);</w:t>
      </w:r>
    </w:p>
    <w:p>
      <w:pPr>
        <w:pStyle w:val="Normal"/>
        <w:jc w:val="both"/>
        <w:rPr/>
      </w:pPr>
      <w:r>
        <w:rPr>
          <w:rFonts w:ascii="PT Astra Serif" w:hAnsi="PT Astra Serif"/>
        </w:rPr>
        <w:t xml:space="preserve">6. </w:t>
      </w:r>
      <w:r>
        <w:rPr>
          <w:rFonts w:ascii="PT Astra Serif" w:hAnsi="PT Astra Serif"/>
        </w:rPr>
        <w:t>Автомобильная дорога Урено - Карлинское - Чуфарово - Вешкайма - Барыш км 95+879 - км 98+171 Барышского района Ульяновской области (г. Барыш, ул. Кирова, ул. Радищево).</w:t>
      </w:r>
    </w:p>
    <w:p>
      <w:pPr>
        <w:pStyle w:val="Normal"/>
        <w:widowControl w:val="false"/>
        <w:spacing w:lineRule="auto" w:line="240" w:before="0" w:afterAutospacing="1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1.2. Срок выполнения работ: </w:t>
      </w:r>
      <w:r>
        <w:rPr>
          <w:rFonts w:ascii="PT Astra Serif" w:hAnsi="PT Astra Serif"/>
          <w:b/>
        </w:rPr>
        <w:t xml:space="preserve">  </w:t>
      </w:r>
      <w:r>
        <w:rPr>
          <w:rFonts w:ascii="PT Astra Serif" w:hAnsi="PT Astra Serif"/>
          <w:b/>
        </w:rPr>
        <w:t>по 17</w:t>
      </w:r>
      <w:r>
        <w:rPr>
          <w:rFonts w:cs="PT Astra Serif" w:ascii="PT Astra Serif" w:hAnsi="PT Astra Serif"/>
          <w:b/>
          <w:lang w:eastAsia="ru-RU"/>
        </w:rPr>
        <w:t>.11.2026</w:t>
      </w:r>
    </w:p>
    <w:p>
      <w:pPr>
        <w:pStyle w:val="Normal"/>
        <w:spacing w:lineRule="auto" w:line="259" w:before="0" w:afterAutospacing="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1.3. Работы выполняются в соответствии с Графиком выполнения строительно-монтажных работ (Приложение №1 к настоящему ТЗ) и Ведомостью объёмов работ (Приложение №3 к ТЗ).</w:t>
      </w:r>
    </w:p>
    <w:p>
      <w:pPr>
        <w:pStyle w:val="Normal"/>
        <w:spacing w:lineRule="auto" w:line="259" w:before="0" w:afterAutospacing="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Этапы выполнения работ не устанавливаются.</w:t>
      </w:r>
    </w:p>
    <w:p>
      <w:pPr>
        <w:pStyle w:val="Normal"/>
        <w:spacing w:lineRule="auto" w:line="259" w:before="0" w:after="160"/>
        <w:jc w:val="both"/>
        <w:rPr>
          <w:highlight w:val="none"/>
          <w:shd w:fill="auto" w:val="clear"/>
        </w:rPr>
      </w:pPr>
      <w:r>
        <w:rPr>
          <w:rFonts w:ascii="PT Astra Serif" w:hAnsi="PT Astra Serif"/>
          <w:shd w:fill="auto" w:val="clear"/>
        </w:rPr>
        <w:t xml:space="preserve">Работы на всех </w:t>
      </w:r>
      <w:r>
        <w:rPr>
          <w:rFonts w:ascii="PT Astra Serif" w:hAnsi="PT Astra Serif"/>
          <w:shd w:fill="auto" w:val="clear"/>
        </w:rPr>
        <w:t xml:space="preserve">6 </w:t>
      </w:r>
      <w:r>
        <w:rPr>
          <w:rFonts w:ascii="PT Astra Serif" w:hAnsi="PT Astra Serif"/>
          <w:shd w:fill="auto" w:val="clear"/>
        </w:rPr>
        <w:t>(</w:t>
      </w:r>
      <w:r>
        <w:rPr>
          <w:rFonts w:ascii="PT Astra Serif" w:hAnsi="PT Astra Serif"/>
          <w:shd w:fill="auto" w:val="clear"/>
        </w:rPr>
        <w:t>шести</w:t>
      </w:r>
      <w:r>
        <w:rPr>
          <w:rFonts w:ascii="PT Astra Serif" w:hAnsi="PT Astra Serif"/>
          <w:shd w:fill="auto" w:val="clear"/>
        </w:rPr>
        <w:t xml:space="preserve">) объектах, указанных в п. 1.1 настоящего ТЗ, должны быть начаты одновременно </w:t>
      </w:r>
      <w:r>
        <w:rPr>
          <w:rFonts w:ascii="PT Astra Serif" w:hAnsi="PT Astra Serif"/>
          <w:shd w:fill="auto" w:val="clear"/>
        </w:rPr>
        <w:t xml:space="preserve">с даты подписания договора </w:t>
      </w:r>
      <w:r>
        <w:rPr>
          <w:rFonts w:ascii="PT Astra Serif" w:hAnsi="PT Astra Serif"/>
          <w:shd w:fill="auto" w:val="clear"/>
        </w:rPr>
        <w:t xml:space="preserve">и завершены в полном объёме не позднее </w:t>
      </w:r>
      <w:r>
        <w:rPr>
          <w:rFonts w:ascii="PT Astra Serif" w:hAnsi="PT Astra Serif"/>
          <w:shd w:fill="auto" w:val="clear"/>
        </w:rPr>
        <w:t>17</w:t>
      </w:r>
      <w:r>
        <w:rPr>
          <w:rFonts w:ascii="PT Astra Serif" w:hAnsi="PT Astra Serif"/>
          <w:shd w:fill="auto" w:val="clear"/>
        </w:rPr>
        <w:t>.</w:t>
      </w:r>
      <w:r>
        <w:rPr>
          <w:rFonts w:ascii="PT Astra Serif" w:hAnsi="PT Astra Serif"/>
          <w:shd w:fill="auto" w:val="clear"/>
        </w:rPr>
        <w:t>11</w:t>
      </w:r>
      <w:r>
        <w:rPr>
          <w:rFonts w:ascii="PT Astra Serif" w:hAnsi="PT Astra Serif"/>
          <w:shd w:fill="auto" w:val="clear"/>
        </w:rPr>
        <w:t>.2026.</w:t>
      </w:r>
    </w:p>
    <w:p>
      <w:pPr>
        <w:pStyle w:val="Normal"/>
        <w:spacing w:lineRule="auto" w:line="259" w:before="0" w:after="160"/>
        <w:jc w:val="both"/>
        <w:rPr>
          <w:highlight w:val="none"/>
          <w:shd w:fill="auto" w:val="clear"/>
        </w:rPr>
      </w:pPr>
      <w:r>
        <w:rPr>
          <w:rFonts w:ascii="PT Astra Serif" w:hAnsi="PT Astra Serif"/>
          <w:shd w:fill="auto" w:val="clear"/>
        </w:rPr>
        <w:t>Подрядчик обязан обеспечить параллельное производство работ на всех объектах с выделением для каждого объекта отдельной производственной бригады, укомплектованной необходимым персоналом, техникой, инструментом и оснасткой.</w:t>
      </w:r>
    </w:p>
    <w:p>
      <w:pPr>
        <w:pStyle w:val="Normal"/>
        <w:spacing w:lineRule="auto" w:line="259" w:before="0" w:after="160"/>
        <w:jc w:val="both"/>
        <w:rPr>
          <w:highlight w:val="none"/>
          <w:shd w:fill="auto" w:val="clear"/>
        </w:rPr>
      </w:pPr>
      <w:r>
        <w:rPr>
          <w:rFonts w:ascii="PT Astra Serif" w:hAnsi="PT Astra Serif"/>
          <w:shd w:fill="auto" w:val="clear"/>
        </w:rPr>
        <w:t xml:space="preserve">Еженедельно, не позднее </w:t>
      </w:r>
      <w:r>
        <w:rPr>
          <w:rFonts w:ascii="PT Astra Serif" w:hAnsi="PT Astra Serif"/>
          <w:shd w:fill="auto" w:val="clear"/>
        </w:rPr>
        <w:t>09</w:t>
      </w:r>
      <w:r>
        <w:rPr>
          <w:rFonts w:ascii="PT Astra Serif" w:hAnsi="PT Astra Serif"/>
          <w:shd w:fill="auto" w:val="clear"/>
        </w:rPr>
        <w:t xml:space="preserve">:00 </w:t>
      </w:r>
      <w:r>
        <w:rPr>
          <w:rFonts w:ascii="PT Astra Serif" w:hAnsi="PT Astra Serif"/>
          <w:shd w:fill="auto" w:val="clear"/>
        </w:rPr>
        <w:t>вторника и четверга</w:t>
      </w:r>
      <w:r>
        <w:rPr>
          <w:rFonts w:ascii="PT Astra Serif" w:hAnsi="PT Astra Serif"/>
          <w:shd w:fill="auto" w:val="clear"/>
        </w:rPr>
        <w:t>, Подрядчик предоставляет Заказчику отчёт о фактическом выполнении работ в разрезе каждого объекта с указанием: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59" w:before="0" w:after="0"/>
        <w:rPr>
          <w:highlight w:val="none"/>
          <w:shd w:fill="auto" w:val="clear"/>
        </w:rPr>
      </w:pPr>
      <w:r>
        <w:rPr>
          <w:rFonts w:ascii="PT Astra Serif" w:hAnsi="PT Astra Serif"/>
          <w:shd w:fill="auto" w:val="clear"/>
        </w:rPr>
        <w:t>выполненных объёмов в натуральных показателях (шт., м, м², м³);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59" w:before="0" w:after="0"/>
        <w:rPr>
          <w:highlight w:val="none"/>
          <w:shd w:fill="auto" w:val="clear"/>
        </w:rPr>
      </w:pPr>
      <w:r>
        <w:rPr>
          <w:rFonts w:ascii="PT Astra Serif" w:hAnsi="PT Astra Serif"/>
          <w:shd w:fill="auto" w:val="clear"/>
        </w:rPr>
        <w:t>количества задействованного персонала и техники;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59" w:before="0" w:after="0"/>
        <w:rPr>
          <w:highlight w:val="none"/>
          <w:shd w:fill="auto" w:val="clear"/>
        </w:rPr>
      </w:pPr>
      <w:r>
        <w:rPr>
          <w:rFonts w:ascii="PT Astra Serif" w:hAnsi="PT Astra Serif"/>
          <w:shd w:fill="auto" w:val="clear"/>
        </w:rPr>
        <w:t>фотоотчёта с привязкой к датам и объектам;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40" w:before="0" w:after="120"/>
        <w:contextualSpacing/>
        <w:jc w:val="both"/>
        <w:rPr>
          <w:highlight w:val="none"/>
          <w:shd w:fill="auto" w:val="clear"/>
        </w:rPr>
      </w:pPr>
      <w:r>
        <w:rPr>
          <w:rFonts w:ascii="PT Astra Serif" w:hAnsi="PT Astra Serif"/>
          <w:shd w:fill="auto" w:val="clear"/>
        </w:rPr>
        <w:t>выявленных отклонений от Графика и мер по их устранению.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1.4. Все действия и взаимодействия при выполнении Работ осуществляются сторонами исключительно</w:t>
      </w:r>
      <w:r>
        <w:rPr>
          <w:rFonts w:ascii="PT Astra Serif" w:hAnsi="PT Astra Serif"/>
          <w:b/>
          <w:u w:val="single"/>
        </w:rPr>
        <w:t xml:space="preserve"> в письменном виде</w:t>
      </w:r>
      <w:r>
        <w:rPr>
          <w:rFonts w:ascii="PT Astra Serif" w:hAnsi="PT Astra Serif"/>
        </w:rPr>
        <w:t>, при этом письменные указания Подрядчику могут даваться в Общем журнале работ и в Предписаниях Заказчика. Указанные документы должны постоянно находиться на Объекте.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1.5. До начала производства Работ на Объекте Подрядчику необходимо согласовать с Заказчиком проект производства работ, также согласовать с Заказчиком и утвердить схему организации движения и ограждения мест производства работ, обеспечить её соблюдение в ходе исполнения обязательств по настоящему контракту и уведомить Управление Госавтоинспекции УМВД России по Ульяновской области о месте и сроках проведения работ с приложением утверждённой схемы организации движения и ограждения места производства работ.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случае изменения схем и порядка организации дорожного движения на объекте в период выполнения работ за 5 (пять) дней до изменения порядка организации дорожного движения согласовать с Заказчиком такой порядок и предоставить органам Госавтоинспекции оригинал схемы этого порядка. Организовать порядок ведения работ на объекте с обеспечением непрерывного и бесперебойного дорожного движения во всех существующих направлениях автомобильной дороги.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1.6. В случаях, если Подрядчик считает необходимым внести изменения в Проектную документацию  он направляет Заказчику Уведомление о таких изменениях, предварительно согласованные с Проектировщиком. Рассмотрение предлагаемых изменений осуществляется на Техническом совете Заказчика с привлечением Подрядчика, Проектировщика и, при необходимости, специалистов надзорных органов и иных организаций. Решение о согласовании изменений или вынесение мотивированного отказа принимается Заказчиком в течение 10 дней.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Подрядчик вправе выполнять работы по Проектной документации, которая изменяется по его инициативе только после получения согласования таких изменений Заказчиком.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1.7. В случае если предлагаемые изменения затрагивают несколько видов работ, или могут впоследствии привести к возникновению значительного увеличения объема работ или изменению транспортно-эксплуатационного состояния объекта и его потребительских свойств, либо изменение технических решений, которые могут повлиять на качество и безопасность объекта, то все необходимые согласования и получение экспертного заключения проводит Подрядчик за свой счёт.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1.8. Необходимо производить работы в полном соответствии с установленными требованиями, предъявляемыми к каждому элементу Объектов в соответствии с Перечнем нормативно-технической документации (Приложение №2 к настоящему ТЗ).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1.9. Необходимо обеспечить выполнение работ на объектах в соответствии с Проектной документацией, нормативным требованиям, требованиям настоящего ТЗ и приложений к нему и сдать объект Заказчику в состоянии, обеспечивающим его нормальную эксплуатацию. Самостоятельно организовать выполнение работ и обеспечить производство работ всеми необходимыми материалами, техникой и оборудованием, техническими средствами организации дорожного движения. Поставить на объект материалы, оборудование и имущество, необходимое в соответствии с Проектной документацией для исполнения Контракта.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widowControl w:val="false"/>
        <w:spacing w:lineRule="auto" w:line="240" w:before="0" w:after="0"/>
        <w:ind w:firstLine="567" w:start="2835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2. Подрядчик обязан: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2.1. </w:t>
      </w:r>
      <w:r>
        <w:rPr>
          <w:rFonts w:cs="PT Astra Serif" w:ascii="PT Astra Serif" w:hAnsi="PT Astra Serif"/>
          <w:lang w:eastAsia="ru-RU"/>
        </w:rPr>
        <w:t>Вести исполнительную производственно-техническую документацию, оформленную в соответствии с И1.13-07 «Инструкция по оформлению приемо-сдаточной документации по электро-монтажным работам», СП 76.13330.2016 Свод правил. Электротехнические устройства, Правила технической эксплуатации электроустановок потребителей (ПТЭЭП), которую необходимо предоставлять представителю Заказчика при приемке и контроле качества работ, ГОСТ 32755-2014, ГОСТ 32756-2014, приказ от 02.12.2022 №1026/пр.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2.2. Вести с момента начала работ на объекте и до их завершения, оформленные и заверенные печатью Заказчика общий и специальный журналы работ.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Обеспечить нахождение на объекте проекта производства работ, Общего журнала работ, специальных журналов работ, Проектной документации. В Общем журнале работ отражать весь ход производства работ, а также все связанные с этим факты и обстоятельства, имеющие значение во взаимоотношениях Заказчика и Подрядчика. Незамедлительно принять меры к устранению недостатков, указанных в Общем журнале работ или Предписаниях Заказчика/надзорных органов.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2.3. Обеспечить за свой счет и в установленные Заказчиком сроки устранение недостатков и дефектов, выявленных в процессе производства работ, при приёмке работ и (или) в течение гарантийного срока.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Предъявлять Заказчику при приемке выполненных работ, следующие документы: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•</w:t>
      </w:r>
      <w:r>
        <w:rPr>
          <w:rFonts w:ascii="PT Astra Serif" w:hAnsi="PT Astra Serif"/>
        </w:rPr>
        <w:tab/>
        <w:t>общий журнал работ по объекту;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•</w:t>
      </w:r>
      <w:r>
        <w:rPr>
          <w:rFonts w:ascii="PT Astra Serif" w:hAnsi="PT Astra Serif"/>
        </w:rPr>
        <w:tab/>
        <w:t>акты освидетельствования скрытых работ с приложением фотоотчета на электронном носителе;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•</w:t>
      </w:r>
      <w:r>
        <w:rPr>
          <w:rFonts w:ascii="PT Astra Serif" w:hAnsi="PT Astra Serif"/>
        </w:rPr>
        <w:tab/>
        <w:t>акты сдачи-приемки выполненных работ с приложением фотоотчета;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•</w:t>
      </w:r>
      <w:r>
        <w:rPr>
          <w:rFonts w:ascii="PT Astra Serif" w:hAnsi="PT Astra Serif"/>
        </w:rPr>
        <w:tab/>
        <w:t>декларации соответствия на используемые материалы;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•</w:t>
      </w:r>
      <w:r>
        <w:rPr>
          <w:rFonts w:ascii="PT Astra Serif" w:hAnsi="PT Astra Serif"/>
        </w:rPr>
        <w:tab/>
        <w:t>фотоотчет (материалы фотофиксации процесса выполнения работ) на электронном носителе;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•</w:t>
      </w:r>
      <w:r>
        <w:rPr>
          <w:rFonts w:ascii="PT Astra Serif" w:hAnsi="PT Astra Serif"/>
        </w:rPr>
        <w:tab/>
        <w:t>справку о выданных Предписаниях Заказчика с отчетом об их выполнении;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•</w:t>
      </w:r>
      <w:r>
        <w:rPr>
          <w:rFonts w:ascii="PT Astra Serif" w:hAnsi="PT Astra Serif"/>
        </w:rPr>
        <w:tab/>
        <w:t>по необходимости по требованию Заказчика другую производственно-техническую документацию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•</w:t>
      </w:r>
      <w:r>
        <w:rPr>
          <w:rFonts w:ascii="PT Astra Serif" w:hAnsi="PT Astra Serif"/>
        </w:rPr>
        <w:t>ключи от шкафов управления наружным освещением;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•</w:t>
      </w:r>
      <w:r>
        <w:rPr>
          <w:rFonts w:ascii="PT Astra Serif" w:hAnsi="PT Astra Serif"/>
        </w:rPr>
        <w:t>протоколы испытаний и измерений электрооборудования электроустановок.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2.4. Обеспечить выполнение Предписаний Заказчика, иных контролирующих/надзорных органов об устранении выявленных нарушений/замечаний по составу и качеству работ на объекте, в установленный Заказчиком срок. О получении предписаний контролирующих и надзорных органов Подрядчик в трехдневный срок обязан проинформировать Заказчика и согласовать выполнение работ. Осуществить своими силами входной и операционный контроль выполняемых работ, постоянно отражая это в исполнительной документации, и отчитываясь о результатах перед Заказчиком. Операционный контроль должен осуществляться в ходе выполнения работ и обеспечивать своевременное выявление дефектов и принятие мер по их предупреждению и устранению.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2.5 Обеспечить в ходе выполнения работ необходимые мероприятия по технике безопасности; соблюдению норм безопасности дорожного движения; экологической, пожарной и других норм безопасности; рациональному использованию территории; охране окружающей среды, зеленых насаждений и земли. Установить дорожные знаки и разметку, ограждение мест производства работ, временное освещение (при необходимости), изготовить информационно-наглядные материалы по всем вопросам производства работ (паспорт объекта).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2.6. При производстве работ обеспечить нахождение своих работников на объекте в специальной одежде определенного образца («сигнальной» одежде, способствующей безопасности дорожных рабочих, как в светлое, так и в темное время суток) с указанием наименования Подрядчика.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2.27. По окончании работ в течение 3 (трех) дней с даты окончания всех работ передать Заказчику исполнительную документацию в электронном виде на флеш-накопителе. Срок предоставления исполнительной документации, необходимой для сдачи объекта может быть изменен по согласованию с Заказчиком.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2.8. Обеспечить на участке производства работ содержание и уборку территории от строительного мусора. В случае необходимости Подрядчик обеспечивает и содержит за свой счет охрану объектов, материалов, оборудования, стоянки техники и другого имущества, необходимых для выполнения работ, ограждения мест производства работ с момента начала работ до подписания акта приемки законченных работ.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Освободить площадку (место работы) и прилегающую территорию от принадлежащего ему имущества, мусора и техники в течение 3 (трех) рабочих дней после завершения работ.</w:t>
      </w:r>
    </w:p>
    <w:p>
      <w:pPr>
        <w:pStyle w:val="Normal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2.9. По приглашению Заказчика принимать участие в проводимых им совещаниях для обсуждения вопросов, связанных с выполнением работ.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2.10. Обеспечить представителя Заказчика для исполнения своих обязательств при промежуточной и ежемесячной приемке выполненных работ, освидетельствования скрытых работ автотранспортом (с последующим возвращением Заказчика на место его пребывания), помещениями для работы.</w:t>
      </w:r>
    </w:p>
    <w:p>
      <w:pPr>
        <w:pStyle w:val="Normal"/>
        <w:widowControl w:val="false"/>
        <w:spacing w:lineRule="auto" w:line="240" w:before="0" w:after="0"/>
        <w:ind w:firstLine="567" w:end="0"/>
        <w:jc w:val="both"/>
        <w:rPr/>
      </w:pPr>
      <w:r>
        <w:rPr>
          <w:rFonts w:cs="PT Astra Serif" w:ascii="PT Astra Serif" w:hAnsi="PT Astra Serif"/>
          <w:lang w:eastAsia="ru-RU"/>
        </w:rPr>
        <w:t>Своевременно представлять Заказчику работы, подлежащие закрытию. Приступать к выполнению последующих работ только после приемки (освидетельствования) в установленном порядке скрытых работ и составления соответствующих актов.</w:t>
      </w:r>
    </w:p>
    <w:p>
      <w:pPr>
        <w:pStyle w:val="Normal"/>
        <w:widowControl w:val="false"/>
        <w:spacing w:lineRule="auto" w:line="240" w:before="0" w:after="0"/>
        <w:ind w:firstLine="567" w:end="0"/>
        <w:jc w:val="both"/>
        <w:rPr>
          <w:rFonts w:ascii="PT Astra Serif" w:hAnsi="PT Astra Serif" w:cs="PT Astra Serif"/>
          <w:lang w:eastAsia="ru-RU"/>
        </w:rPr>
      </w:pPr>
      <w:r>
        <w:rPr>
          <w:rFonts w:cs="PT Astra Serif" w:ascii="PT Astra Serif" w:hAnsi="PT Astra Serif"/>
          <w:lang w:eastAsia="ru-RU"/>
        </w:rPr>
        <w:t>Известить Заказчика в письменном виде не менее чем за три рабочих дня о необходимости проведения освидетельствования скрытых работ и составления актов до проведения промежуточной приемки выполненных работ, подлежащих закрытию.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2.11. Провести все необходимые согласования для выполнения обязательств по настоящему контракту.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2.12. В случае возникновения по вине Подрядчика перерывов в движении на участке работ незамедлительно сообщить о таких ситуациях Заказчику, организовать работу по предупреждению и ликвидации ограничений, а также производить указанные работы в кратчайшие сроки (в течение 3-х часов с момента возникновения перерывов в движении) за свой счёт без последующей компенсации Заказчиком понесённых затрат. В случае невозможности обеспечить проведение таких работ собственными силами Подрядчик незамедлительно сообщает о таких ситуациях Заказчику и в дальнейшем компенсирует Заказчику или привлеченной Заказчиком организации стоимость проведенных работ, а также возмещает ущерб третьим лицам, нанесенный в результате ограничения или перерыва движения.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2.13. Выполнить за свой счет фото и видеосъемку объекта до начала производства работ, во время производства работ и по состоянию объекта после окончания работ с количеством фотографий не менее трёх на каждый конструктивный элемент объекта.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Фотоматериалы и видеосъемку представлять представителю Заказчика при сдаче-приемки выполненных работ.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Изображение не должно быть размытым, недопустимо чрезмерное увеличение резкости. Снимок должен быть выровнен по горизонтали и/или вертикали (в зависимости от сюжета и компановки).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Фотографии объектов до и после проведения работ должны быть выполнены с одних и тех же ракурсов для наглядной демонстрации результатов работ.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Фотосъемку готового объекта желательно выполнять в период наибольшей загруженности данного участка. Фотосъемку во время производства работ выполнять с разных ракурсов.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2.14. Представлять отчет (характеристики, фотографии, объем, стоимость) о выполнении работ с применением инноваций (новые материалы, технологии, оборудование и т.д.) в течение 10 (десяти) дней после завершения таких работ (перечень инноваций уточняется по решению Заказчика).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2.15. Обеспечить на объектах осуществление контроля оценки (комплекса измерений) горизонтальной освещенности покрытия проезжей части от искусственного освещения, с оформлением акта оценки освещенности. Обеспечить поддержание нормируемых светотехнических параметров на объектах.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2.16. Предоставить доступ к мониторингу и управлению установленной согласно проектной документации автоматизированной системе управления наружным освещением (АСУНО), с устройства на операционной системе Windows, а также с любого мобильного устройства (на базе Android и IOS). Мониторинг должен включать в себя сбор полной телеметрической информации в пункте включения с использованием счетчика электрической энергии, а также состояния датчиков охранной сигнализации. Хранение всей телеметрической информации должно быть не менее недели, с возможностью доступа в любой момент с оборудования заказчика.</w:t>
      </w:r>
    </w:p>
    <w:p>
      <w:pPr>
        <w:pStyle w:val="Normal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Демонтаж существующих приборов учета электрической энергии и иного оборудования (шкафы управления наружным освещением, коммутационное оборудование и т.п.) имеющие пломбы и (или) знаки визуального контроля, которое используются для обеспечения коммерческого учета электрической энергии выполнять согласно постановления Правительства РФ от 04.05.2012 №442 «О функционировании розничных рынков электрической энергии, полном и (или) частичном ограничении режима потребления электрической энергии».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Не менее чем за 7 (семь) рабочих дней направить уведомление Заказчику и сетевой организации о намерении демонтажа существующих приборов учета электрической энергии и иного оборудования (шкафы управления наружным освещением, коммутационное оборудование и т.п.) имеющие пломбы и (или) знаки визуального контроля с указанием предлагаемой даты и времени демонтажа.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2.17. Содействовать проведению специализированной организацией обязательного энергетического обследования (при необходимости с инспектором РЭС).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согласованную дату и время направить своих представителей для принятия участия в процедуре демонтажа приборов учета электрической энергии, иного оборудования и подписании соответствующих документов.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2.18. В соответствии с требованиями Федерального закона от 24.06.1998 №89-ФЗ «Об отходах производства и потребления» выполнить весь комплекс работ по обращению с отходами производства и потребления, в том числе выступать собственником и образователем отходов, образующихся при работе на объекте, а также осуществлять все расчеты и платежи, связанные с негативным воздействием на окружающую среду, нести все риски, связанные с деятельностью по образованию отходов, разрабатывать проект нормативов образования отходов и лимитов на их размещение (ПНООЛР), согласовывать его в Росприроднадзоре и получать лимиты на образование отходов от своего имени. При сдаче Заказчику выполненных работ предоставить подтверждающие документы о произведенных затратах по обращению с отходами производства и потребления.</w:t>
      </w:r>
    </w:p>
    <w:p>
      <w:pPr>
        <w:pStyle w:val="Normal"/>
        <w:spacing w:lineRule="auto" w:line="259" w:before="0" w:after="160"/>
        <w:ind w:firstLine="567"/>
        <w:jc w:val="both"/>
        <w:rPr>
          <w:rFonts w:ascii="PT Astra Serif" w:hAnsi="PT Astra Serif"/>
          <w:highlight w:val="yellow"/>
        </w:rPr>
      </w:pPr>
      <w:r>
        <w:rPr>
          <w:rFonts w:ascii="PT Astra Serif" w:hAnsi="PT Astra Serif"/>
        </w:rPr>
      </w:r>
    </w:p>
    <w:p>
      <w:pPr>
        <w:pStyle w:val="ListParagraph1"/>
        <w:widowControl w:val="false"/>
        <w:spacing w:lineRule="auto" w:line="240" w:before="0" w:after="0"/>
        <w:ind w:start="0"/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3. ГАРАНТИИ КАЧЕСТВА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3.1. Подрядчик гарантирует надлежащее качество используемых материалов, соответствие их проектным спецификациям, государственным стандартам и техническим условиям, обеспеченность их соответствующими декларациями, техническими паспортами и другими документами, удостоверяющими качество.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3.2. Гарантия качества результата работ, предусмотренного Контрактом, распространяется на все, составляющее результат работ.</w:t>
      </w:r>
    </w:p>
    <w:p>
      <w:pPr>
        <w:pStyle w:val="Normal"/>
        <w:widowControl w:val="false"/>
        <w:spacing w:lineRule="auto" w:line="238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3.3. Гарантийный срок на результат работ устанавливается с даты подписания Заказчиком документа о приемке, сформированного с использованием единой информационной системы в сфере закупок, а в случае досрочного расторжения контракта - с даты, с которой в соответствии с законодательством Российской Федерации контракт признается расторгнутым.</w:t>
      </w:r>
    </w:p>
    <w:p>
      <w:pPr>
        <w:pStyle w:val="Normal"/>
        <w:widowControl w:val="false"/>
        <w:spacing w:lineRule="auto" w:line="238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3.4. Гарантийный срок нормативной эксплуатации объекта и входящих в него инженерных систем, оборудования, материалов и работ устанавливается в соответствии с постановлением Правительства РФ от 29.06.2023 №1066.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sz w:val="32"/>
        </w:rPr>
      </w:pPr>
      <w:r>
        <w:rPr>
          <w:rFonts w:ascii="PT Astra Serif" w:hAnsi="PT Astra Serif"/>
        </w:rPr>
      </w:r>
    </w:p>
    <w:p>
      <w:pPr>
        <w:pStyle w:val="Normal"/>
        <w:spacing w:lineRule="auto" w:line="240" w:before="0" w:after="0"/>
        <w:jc w:val="center"/>
        <w:rPr>
          <w:rFonts w:ascii="PT Astra Serif" w:hAnsi="PT Astra Serif"/>
          <w:b/>
          <w:sz w:val="32"/>
        </w:rPr>
      </w:pPr>
      <w:r>
        <w:rPr>
          <w:rFonts w:ascii="PT Astra Serif" w:hAnsi="PT Astra Serif"/>
        </w:rPr>
        <w:t>ГАРАНТИЙНЫЕ СРОКИ</w:t>
      </w:r>
    </w:p>
    <w:tbl>
      <w:tblPr>
        <w:tblW w:w="9746" w:type="dxa"/>
        <w:jc w:val="start"/>
        <w:tblInd w:w="10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8047"/>
        <w:gridCol w:w="1699"/>
      </w:tblGrid>
      <w:tr>
        <w:trPr/>
        <w:tc>
          <w:tcPr>
            <w:tcW w:w="8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Железобетонная опора</w:t>
            </w:r>
          </w:p>
        </w:tc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лет</w:t>
            </w:r>
          </w:p>
        </w:tc>
      </w:tr>
      <w:tr>
        <w:trPr/>
        <w:tc>
          <w:tcPr>
            <w:tcW w:w="8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Кронштейн для светодиодного светильника</w:t>
            </w:r>
          </w:p>
        </w:tc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лет</w:t>
            </w:r>
          </w:p>
        </w:tc>
      </w:tr>
      <w:tr>
        <w:trPr/>
        <w:tc>
          <w:tcPr>
            <w:tcW w:w="8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Светильник светодиодный</w:t>
            </w:r>
          </w:p>
        </w:tc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лет</w:t>
            </w:r>
          </w:p>
        </w:tc>
      </w:tr>
      <w:tr>
        <w:trPr/>
        <w:tc>
          <w:tcPr>
            <w:tcW w:w="8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Конструктивные элементы электроосвещения</w:t>
            </w:r>
          </w:p>
        </w:tc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лет</w:t>
            </w:r>
          </w:p>
        </w:tc>
      </w:tr>
      <w:tr>
        <w:trPr/>
        <w:tc>
          <w:tcPr>
            <w:tcW w:w="8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Самонесущий изолированный провод</w:t>
            </w:r>
          </w:p>
        </w:tc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года</w:t>
            </w:r>
          </w:p>
        </w:tc>
      </w:tr>
      <w:tr>
        <w:trPr/>
        <w:tc>
          <w:tcPr>
            <w:tcW w:w="8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Элементы подвешивания и крепления провода, кабеля</w:t>
            </w:r>
          </w:p>
        </w:tc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лет</w:t>
            </w:r>
          </w:p>
        </w:tc>
      </w:tr>
      <w:tr>
        <w:trPr/>
        <w:tc>
          <w:tcPr>
            <w:tcW w:w="8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Вертикальная разметка на световых опорах</w:t>
            </w:r>
          </w:p>
        </w:tc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года</w:t>
            </w:r>
          </w:p>
        </w:tc>
      </w:tr>
      <w:tr>
        <w:trPr/>
        <w:tc>
          <w:tcPr>
            <w:tcW w:w="8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Кабель</w:t>
            </w:r>
          </w:p>
        </w:tc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лет</w:t>
            </w:r>
          </w:p>
        </w:tc>
      </w:tr>
      <w:tr>
        <w:trPr/>
        <w:tc>
          <w:tcPr>
            <w:tcW w:w="8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Шкаф управления освещением в сборе</w:t>
            </w:r>
          </w:p>
        </w:tc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года</w:t>
            </w:r>
          </w:p>
        </w:tc>
      </w:tr>
      <w:tr>
        <w:trPr/>
        <w:tc>
          <w:tcPr>
            <w:tcW w:w="804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widowControl w:val="false"/>
              <w:spacing w:lineRule="auto" w:line="240"/>
              <w:ind w:hanging="0" w:start="0" w:end="0"/>
              <w:jc w:val="start"/>
              <w:rPr>
                <w:rFonts w:ascii="Times New Roman" w:hAnsi="Times New Roman"/>
                <w:spacing w:val="0"/>
                <w:kern w:val="0"/>
                <w:sz w:val="26"/>
                <w:szCs w:val="26"/>
              </w:rPr>
            </w:pPr>
            <w:r>
              <w:rPr>
                <w:rFonts w:ascii="Times New Roman" w:hAnsi="Times New Roman"/>
                <w:spacing w:val="0"/>
                <w:kern w:val="0"/>
                <w:sz w:val="26"/>
                <w:szCs w:val="26"/>
              </w:rPr>
              <w:t>‍</w:t>
            </w:r>
            <w:r>
              <w:rPr>
                <w:rFonts w:ascii="Times New Roman" w:hAnsi="Times New Roman"/>
                <w:spacing w:val="0"/>
                <w:kern w:val="0"/>
                <w:sz w:val="26"/>
                <w:szCs w:val="26"/>
              </w:rPr>
              <w:t>Гарантийный срок на выполненные Работы, используемые Материалы, Оборудование</w:t>
            </w:r>
          </w:p>
        </w:tc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лет</w:t>
            </w:r>
          </w:p>
        </w:tc>
      </w:tr>
    </w:tbl>
    <w:p>
      <w:pPr>
        <w:pStyle w:val="Normal"/>
        <w:widowControl w:val="false"/>
        <w:spacing w:lineRule="auto" w:line="238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3.5. В случае если производителями или поставщиками материалов, конструкций, изделий или оборудования, подлежащих передаче Заказчику после завершения работ, установлены гарантийные сроки на такие материалы, конструкции, изделия или оборудование, большие по сравнению с гарантийным сроком, установленным Контрактом, к соответствующим материалам, конструкциям, изделиям и оборудованию применяются гарантийные сроки, предусмотренные производителями или поставщиками. Подрядчик обязуется передать Заказчику все документы, подтверждающие гарантии качества и гарантийные сроки, предусмотренные указанными поставщиками или производителями.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  <w:b/>
          <w:bCs/>
          <w:highlight w:val="yellow"/>
        </w:rPr>
      </w:pPr>
      <w:r>
        <w:rPr/>
      </w:r>
    </w:p>
    <w:p>
      <w:pPr>
        <w:pStyle w:val="Normal"/>
        <w:numPr>
          <w:ilvl w:val="0"/>
          <w:numId w:val="0"/>
        </w:numPr>
        <w:suppressAutoHyphens w:val="false"/>
        <w:spacing w:lineRule="auto" w:line="259" w:before="0" w:after="160"/>
        <w:ind w:hanging="0" w:start="720"/>
        <w:rPr>
          <w:rFonts w:ascii="PT Astra Serif" w:hAnsi="PT Astra Serif"/>
          <w:highlight w:val="yellow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XO Thames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PT Astra Serif">
    <w:charset w:val="01" w:characterSet="utf-8"/>
    <w:family w:val="roman"/>
    <w:pitch w:val="variable"/>
  </w:font>
  <w:font w:name="PT Astra Serif">
    <w:charset w:val="cc" w:characterSet="windows-125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Noto Sans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0" w:unhideWhenUsed="0"/>
    <w:lsdException w:name="toc 2" w:uiPriority="39" w:semiHidden="0" w:unhideWhenUsed="0"/>
    <w:lsdException w:name="toc 3" w:uiPriority="39" w:semiHidden="0" w:unhideWhenUsed="0"/>
    <w:lsdException w:name="toc 4" w:uiPriority="39" w:semiHidden="0" w:unhideWhenUsed="0"/>
    <w:lsdException w:name="toc 5" w:uiPriority="39" w:semiHidden="0" w:unhideWhenUsed="0"/>
    <w:lsdException w:name="toc 6" w:uiPriority="39" w:semiHidden="0" w:unhideWhenUsed="0"/>
    <w:lsdException w:name="toc 7" w:uiPriority="39" w:semiHidden="0" w:unhideWhenUsed="0"/>
    <w:lsdException w:name="toc 8" w:uiPriority="39" w:semiHidden="0" w:unhideWhenUsed="0"/>
    <w:lsdException w:name="toc 9" w:uiPriority="39" w:semiHidden="0" w:unhideWhenUsed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semiHidden="0" w:unhideWhenUsed="0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Tahoma" w:cs="Noto Sans"/>
      <w:color w:val="000000"/>
      <w:kern w:val="0"/>
      <w:sz w:val="22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before="120" w:after="120"/>
      <w:jc w:val="both"/>
      <w:outlineLvl w:val="0"/>
    </w:pPr>
    <w:rPr>
      <w:rFonts w:ascii="XO Thames" w:hAnsi="XO Thames" w:eastAsia="Tahoma" w:cs="Noto Sans"/>
      <w:b/>
      <w:color w:val="00000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before="120" w:after="120"/>
      <w:jc w:val="both"/>
      <w:outlineLvl w:val="1"/>
    </w:pPr>
    <w:rPr>
      <w:rFonts w:ascii="XO Thames" w:hAnsi="XO Thames" w:eastAsia="Tahoma" w:cs="Noto Sans"/>
      <w:b/>
      <w:color w:val="00000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before="120" w:after="120"/>
      <w:jc w:val="both"/>
      <w:outlineLvl w:val="2"/>
    </w:pPr>
    <w:rPr>
      <w:rFonts w:ascii="XO Thames" w:hAnsi="XO Thames" w:eastAsia="Tahoma" w:cs="Noto Sans"/>
      <w:b/>
      <w:color w:val="00000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before="120" w:after="120"/>
      <w:jc w:val="both"/>
      <w:outlineLvl w:val="3"/>
    </w:pPr>
    <w:rPr>
      <w:rFonts w:ascii="XO Thames" w:hAnsi="XO Thames" w:eastAsia="Tahoma" w:cs="Noto Sans"/>
      <w:b/>
      <w:color w:val="00000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before="120" w:after="120"/>
      <w:jc w:val="both"/>
      <w:outlineLvl w:val="4"/>
    </w:pPr>
    <w:rPr>
      <w:rFonts w:ascii="XO Thames" w:hAnsi="XO Thames" w:eastAsia="Tahoma" w:cs="Noto Sans"/>
      <w:b/>
      <w:color w:val="000000"/>
      <w:kern w:val="0"/>
      <w:sz w:val="22"/>
      <w:szCs w:val="20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ntents2" w:customStyle="1">
    <w:name w:val="Contents 2"/>
    <w:qFormat/>
    <w:rPr>
      <w:rFonts w:ascii="XO Thames" w:hAnsi="XO Thames"/>
      <w:sz w:val="28"/>
    </w:rPr>
  </w:style>
  <w:style w:type="character" w:styleId="Contents4" w:customStyle="1">
    <w:name w:val="Contents 4"/>
    <w:qFormat/>
    <w:rPr>
      <w:rFonts w:ascii="XO Thames" w:hAnsi="XO Thames"/>
      <w:sz w:val="28"/>
    </w:rPr>
  </w:style>
  <w:style w:type="character" w:styleId="Contents6" w:customStyle="1">
    <w:name w:val="Contents 6"/>
    <w:qFormat/>
    <w:rPr>
      <w:rFonts w:ascii="XO Thames" w:hAnsi="XO Thames"/>
      <w:sz w:val="28"/>
    </w:rPr>
  </w:style>
  <w:style w:type="character" w:styleId="Contents7" w:customStyle="1">
    <w:name w:val="Contents 7"/>
    <w:qFormat/>
    <w:rPr>
      <w:rFonts w:ascii="XO Thames" w:hAnsi="XO Thames"/>
      <w:sz w:val="28"/>
    </w:rPr>
  </w:style>
  <w:style w:type="character" w:styleId="Header1" w:customStyle="1">
    <w:name w:val="Header1"/>
    <w:qFormat/>
    <w:rPr/>
  </w:style>
  <w:style w:type="character" w:styleId="1" w:customStyle="1">
    <w:name w:val="Без интервала1"/>
    <w:link w:val="NoSpacing1"/>
    <w:qFormat/>
    <w:rPr>
      <w:sz w:val="22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Heading31" w:customStyle="1">
    <w:name w:val="Heading 31"/>
    <w:qFormat/>
    <w:rPr>
      <w:rFonts w:ascii="XO Thames" w:hAnsi="XO Thames"/>
      <w:b/>
      <w:sz w:val="26"/>
    </w:rPr>
  </w:style>
  <w:style w:type="character" w:styleId="Marginalia" w:customStyle="1">
    <w:name w:val="Marginalia"/>
    <w:qFormat/>
    <w:rPr>
      <w:sz w:val="20"/>
    </w:rPr>
  </w:style>
  <w:style w:type="character" w:styleId="11" w:customStyle="1">
    <w:name w:val="Текст выноски1"/>
    <w:link w:val="BalloonText1"/>
    <w:qFormat/>
    <w:rPr>
      <w:rFonts w:ascii="Segoe UI" w:hAnsi="Segoe UI"/>
      <w:sz w:val="18"/>
    </w:rPr>
  </w:style>
  <w:style w:type="character" w:styleId="Footer1" w:customStyle="1">
    <w:name w:val="Footer1"/>
    <w:qFormat/>
    <w:rPr/>
  </w:style>
  <w:style w:type="character" w:styleId="ConsPlusNormal" w:customStyle="1">
    <w:name w:val="ConsPlusNormal"/>
    <w:link w:val="ConsPlusNormal1"/>
    <w:qFormat/>
    <w:rPr>
      <w:sz w:val="22"/>
    </w:rPr>
  </w:style>
  <w:style w:type="character" w:styleId="Contents3" w:customStyle="1">
    <w:name w:val="Contents 3"/>
    <w:qFormat/>
    <w:rPr>
      <w:rFonts w:ascii="XO Thames" w:hAnsi="XO Thames"/>
      <w:sz w:val="28"/>
    </w:rPr>
  </w:style>
  <w:style w:type="character" w:styleId="Heading51" w:customStyle="1">
    <w:name w:val="Heading 51"/>
    <w:qFormat/>
    <w:rPr>
      <w:rFonts w:ascii="XO Thames" w:hAnsi="XO Thames"/>
      <w:b/>
      <w:sz w:val="22"/>
    </w:rPr>
  </w:style>
  <w:style w:type="character" w:styleId="Heading11" w:customStyle="1">
    <w:name w:val="Heading 11"/>
    <w:qFormat/>
    <w:rPr>
      <w:rFonts w:ascii="XO Thames" w:hAnsi="XO Thames"/>
      <w:b/>
      <w:sz w:val="32"/>
    </w:rPr>
  </w:style>
  <w:style w:type="character" w:styleId="CommentReference">
    <w:name w:val="annotation reference"/>
    <w:link w:val="annotationreference1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Contents1" w:customStyle="1">
    <w:name w:val="Contents 1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8"/>
    </w:rPr>
  </w:style>
  <w:style w:type="character" w:styleId="Contents9" w:customStyle="1">
    <w:name w:val="Contents 9"/>
    <w:qFormat/>
    <w:rPr>
      <w:rFonts w:ascii="XO Thames" w:hAnsi="XO Thames"/>
      <w:sz w:val="28"/>
    </w:rPr>
  </w:style>
  <w:style w:type="character" w:styleId="Contents8" w:customStyle="1">
    <w:name w:val="Contents 8"/>
    <w:qFormat/>
    <w:rPr>
      <w:rFonts w:ascii="XO Thames" w:hAnsi="XO Thames"/>
      <w:sz w:val="28"/>
    </w:rPr>
  </w:style>
  <w:style w:type="character" w:styleId="Contents5" w:customStyle="1">
    <w:name w:val="Contents 5"/>
    <w:qFormat/>
    <w:rPr>
      <w:rFonts w:ascii="XO Thames" w:hAnsi="XO Thames"/>
      <w:sz w:val="28"/>
    </w:rPr>
  </w:style>
  <w:style w:type="character" w:styleId="12" w:customStyle="1">
    <w:name w:val="Тема примечания1"/>
    <w:basedOn w:val="Marginalia"/>
    <w:link w:val="annotationsubject1"/>
    <w:qFormat/>
    <w:rPr>
      <w:b/>
      <w:sz w:val="20"/>
    </w:rPr>
  </w:style>
  <w:style w:type="character" w:styleId="Subtitle1" w:customStyle="1">
    <w:name w:val="Subtitle1"/>
    <w:qFormat/>
    <w:rPr>
      <w:rFonts w:ascii="XO Thames" w:hAnsi="XO Thames"/>
      <w:i/>
      <w:sz w:val="24"/>
    </w:rPr>
  </w:style>
  <w:style w:type="character" w:styleId="Title1" w:customStyle="1">
    <w:name w:val="Title1"/>
    <w:qFormat/>
    <w:rPr>
      <w:rFonts w:ascii="XO Thames" w:hAnsi="XO Thames"/>
      <w:b/>
      <w:caps/>
      <w:sz w:val="40"/>
    </w:rPr>
  </w:style>
  <w:style w:type="character" w:styleId="Heading41" w:customStyle="1">
    <w:name w:val="Heading 41"/>
    <w:qFormat/>
    <w:rPr>
      <w:rFonts w:ascii="XO Thames" w:hAnsi="XO Thames"/>
      <w:b/>
      <w:sz w:val="24"/>
    </w:rPr>
  </w:style>
  <w:style w:type="character" w:styleId="Heading21" w:customStyle="1">
    <w:name w:val="Heading 21"/>
    <w:qFormat/>
    <w:rPr>
      <w:rFonts w:ascii="XO Thames" w:hAnsi="XO Thames"/>
      <w:b/>
      <w:sz w:val="28"/>
    </w:rPr>
  </w:style>
  <w:style w:type="character" w:styleId="13" w:customStyle="1">
    <w:name w:val="Абзац списка1"/>
    <w:link w:val="ListParagraph1"/>
    <w:qFormat/>
    <w:rPr/>
  </w:style>
  <w:style w:type="character" w:styleId="Style9" w:customStyle="1">
    <w:name w:val="Текст примечания Знак"/>
    <w:basedOn w:val="DefaultParagraphFont"/>
    <w:qFormat/>
    <w:rsid w:val="00d7736b"/>
    <w:rPr/>
  </w:style>
  <w:style w:type="character" w:styleId="Style10" w:customStyle="1">
    <w:name w:val="Тема примечания Знак"/>
    <w:basedOn w:val="Style9"/>
    <w:link w:val="annotationsubject"/>
    <w:uiPriority w:val="99"/>
    <w:semiHidden/>
    <w:qFormat/>
    <w:rsid w:val="00d7736b"/>
    <w:rPr>
      <w:rFonts w:cs="Mangal"/>
      <w:b/>
      <w:bCs/>
      <w:szCs w:val="18"/>
    </w:rPr>
  </w:style>
  <w:style w:type="character" w:styleId="Strong">
    <w:name w:val="Strong"/>
    <w:basedOn w:val="DefaultParagraphFont"/>
    <w:uiPriority w:val="22"/>
    <w:qFormat/>
    <w:rsid w:val="003e39f0"/>
    <w:rPr>
      <w:b/>
      <w:bCs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next w:val="BodyText"/>
    <w:uiPriority w:val="10"/>
    <w:qFormat/>
    <w:pPr>
      <w:widowControl/>
      <w:suppressAutoHyphens w:val="true"/>
      <w:bidi w:val="0"/>
      <w:spacing w:before="567" w:after="567"/>
      <w:jc w:val="center"/>
    </w:pPr>
    <w:rPr>
      <w:rFonts w:ascii="XO Thames" w:hAnsi="XO Thames" w:eastAsia="Tahoma" w:cs="Noto Sans"/>
      <w:b/>
      <w:caps/>
      <w:color w:val="000000"/>
      <w:kern w:val="0"/>
      <w:sz w:val="40"/>
      <w:szCs w:val="20"/>
      <w:lang w:val="ru-RU" w:eastAsia="zh-CN" w:bidi="hi-IN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TOC2">
    <w:name w:val="toc 2"/>
    <w:next w:val="Normal"/>
    <w:uiPriority w:val="39"/>
    <w:pPr>
      <w:widowControl/>
      <w:suppressAutoHyphens w:val="true"/>
      <w:bidi w:val="0"/>
      <w:spacing w:before="0" w:after="0"/>
      <w:ind w:start="200"/>
      <w:jc w:val="start"/>
    </w:pPr>
    <w:rPr>
      <w:rFonts w:ascii="XO Thames" w:hAnsi="XO Thames" w:eastAsia="Tahoma" w:cs="Noto Sans"/>
      <w:color w:val="00000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before="0" w:after="0"/>
      <w:ind w:start="600"/>
      <w:jc w:val="start"/>
    </w:pPr>
    <w:rPr>
      <w:rFonts w:ascii="XO Thames" w:hAnsi="XO Thames" w:eastAsia="Tahoma" w:cs="Noto Sans"/>
      <w:color w:val="00000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before="0" w:after="0"/>
      <w:ind w:start="1000"/>
      <w:jc w:val="start"/>
    </w:pPr>
    <w:rPr>
      <w:rFonts w:ascii="XO Thames" w:hAnsi="XO Thames" w:eastAsia="Tahoma" w:cs="Noto Sans"/>
      <w:color w:val="00000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before="0" w:after="0"/>
      <w:ind w:start="1200"/>
      <w:jc w:val="start"/>
    </w:pPr>
    <w:rPr>
      <w:rFonts w:ascii="XO Thames" w:hAnsi="XO Thames" w:eastAsia="Tahoma" w:cs="Noto Sans"/>
      <w:color w:val="000000"/>
      <w:kern w:val="0"/>
      <w:sz w:val="28"/>
      <w:szCs w:val="20"/>
      <w:lang w:val="ru-RU" w:eastAsia="zh-CN" w:bidi="hi-IN"/>
    </w:rPr>
  </w:style>
  <w:style w:type="paragraph" w:styleId="user" w:customStyle="1">
    <w:name w:val="Колонтитулы (user)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ahoma" w:cs="Noto Sans"/>
      <w:color w:val="000000"/>
      <w:kern w:val="0"/>
      <w:sz w:val="28"/>
      <w:szCs w:val="20"/>
      <w:lang w:val="ru-RU" w:eastAsia="zh-CN" w:bidi="hi-IN"/>
    </w:rPr>
  </w:style>
  <w:style w:type="paragraph" w:styleId="Style13">
    <w:name w:val="Колонтитулы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1" w:customStyle="1">
    <w:name w:val="No Spacing1"/>
    <w:link w:val="1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ahoma" w:cs="Noto Sans"/>
      <w:color w:val="000000"/>
      <w:kern w:val="0"/>
      <w:sz w:val="22"/>
      <w:szCs w:val="20"/>
      <w:lang w:val="ru-RU" w:eastAsia="zh-CN" w:bidi="hi-IN"/>
    </w:rPr>
  </w:style>
  <w:style w:type="paragraph" w:styleId="Endnote1" w:customStyle="1">
    <w:name w:val="Endnote1"/>
    <w:link w:val="End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ahoma" w:cs="Noto Sans"/>
      <w:color w:val="000000"/>
      <w:kern w:val="0"/>
      <w:sz w:val="22"/>
      <w:szCs w:val="20"/>
      <w:lang w:val="ru-RU" w:eastAsia="zh-CN" w:bidi="hi-IN"/>
    </w:rPr>
  </w:style>
  <w:style w:type="paragraph" w:styleId="CommentText">
    <w:name w:val="annotation text"/>
    <w:basedOn w:val="Normal"/>
    <w:link w:val="Style9"/>
    <w:pPr/>
    <w:rPr>
      <w:sz w:val="20"/>
    </w:rPr>
  </w:style>
  <w:style w:type="paragraph" w:styleId="DefaultParagraphFont1" w:customStyle="1">
    <w:name w:val="Default Paragraph Font1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ahoma" w:cs="Noto Sans"/>
      <w:color w:val="000000"/>
      <w:kern w:val="0"/>
      <w:sz w:val="20"/>
      <w:szCs w:val="20"/>
      <w:lang w:val="ru-RU" w:eastAsia="zh-CN" w:bidi="hi-IN"/>
    </w:rPr>
  </w:style>
  <w:style w:type="paragraph" w:styleId="BalloonText1" w:customStyle="1">
    <w:name w:val="Balloon Text1"/>
    <w:basedOn w:val="Normal"/>
    <w:link w:val="11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rmal1" w:customStyle="1">
    <w:name w:val="ConsPlusNormal1"/>
    <w:link w:val="ConsPlusNormal"/>
    <w:qFormat/>
    <w:pPr>
      <w:widowControl w:val="false"/>
      <w:suppressAutoHyphens w:val="true"/>
      <w:bidi w:val="0"/>
      <w:spacing w:before="0" w:after="0"/>
      <w:jc w:val="start"/>
    </w:pPr>
    <w:rPr>
      <w:rFonts w:ascii="Calibri" w:hAnsi="Calibri" w:eastAsia="Tahoma" w:cs="Noto Sans"/>
      <w:color w:val="000000"/>
      <w:kern w:val="0"/>
      <w:sz w:val="22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before="0" w:after="0"/>
      <w:ind w:start="400"/>
      <w:jc w:val="start"/>
    </w:pPr>
    <w:rPr>
      <w:rFonts w:ascii="XO Thames" w:hAnsi="XO Thames" w:eastAsia="Tahoma" w:cs="Noto Sans"/>
      <w:color w:val="000000"/>
      <w:kern w:val="0"/>
      <w:sz w:val="28"/>
      <w:szCs w:val="20"/>
      <w:lang w:val="ru-RU" w:eastAsia="zh-CN" w:bidi="hi-IN"/>
    </w:rPr>
  </w:style>
  <w:style w:type="paragraph" w:styleId="annotationreference1" w:customStyle="1">
    <w:name w:val="annotation reference1"/>
    <w:link w:val="CommentReference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ahoma" w:cs="Noto Sans"/>
      <w:color w:val="000000"/>
      <w:kern w:val="0"/>
      <w:sz w:val="16"/>
      <w:szCs w:val="20"/>
      <w:lang w:val="ru-RU" w:eastAsia="zh-CN" w:bidi="hi-IN"/>
    </w:rPr>
  </w:style>
  <w:style w:type="paragraph" w:styleId="Internetlink" w:customStyle="1">
    <w:name w:val="Internet link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ahoma" w:cs="Noto Sans"/>
      <w:color w:val="0000FF"/>
      <w:kern w:val="0"/>
      <w:sz w:val="20"/>
      <w:szCs w:val="20"/>
      <w:u w:val="single"/>
      <w:lang w:val="ru-RU" w:eastAsia="zh-CN" w:bidi="hi-IN"/>
    </w:rPr>
  </w:style>
  <w:style w:type="paragraph" w:styleId="Footnote1" w:customStyle="1">
    <w:name w:val="Footnote1"/>
    <w:link w:val="Foot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ahoma" w:cs="Noto Sans"/>
      <w:color w:val="00000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before="0" w:after="0"/>
      <w:jc w:val="start"/>
    </w:pPr>
    <w:rPr>
      <w:rFonts w:ascii="XO Thames" w:hAnsi="XO Thames" w:eastAsia="Tahoma" w:cs="Noto Sans"/>
      <w:b/>
      <w:color w:val="00000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before="0" w:after="0"/>
      <w:ind w:start="1600"/>
      <w:jc w:val="start"/>
    </w:pPr>
    <w:rPr>
      <w:rFonts w:ascii="XO Thames" w:hAnsi="XO Thames" w:eastAsia="Tahoma" w:cs="Noto Sans"/>
      <w:color w:val="00000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before="0" w:after="0"/>
      <w:ind w:start="1400"/>
      <w:jc w:val="start"/>
    </w:pPr>
    <w:rPr>
      <w:rFonts w:ascii="XO Thames" w:hAnsi="XO Thames" w:eastAsia="Tahoma" w:cs="Noto Sans"/>
      <w:color w:val="00000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before="0" w:after="0"/>
      <w:ind w:start="800"/>
      <w:jc w:val="start"/>
    </w:pPr>
    <w:rPr>
      <w:rFonts w:ascii="XO Thames" w:hAnsi="XO Thames" w:eastAsia="Tahoma" w:cs="Noto Sans"/>
      <w:color w:val="000000"/>
      <w:kern w:val="0"/>
      <w:sz w:val="28"/>
      <w:szCs w:val="20"/>
      <w:lang w:val="ru-RU" w:eastAsia="zh-CN" w:bidi="hi-IN"/>
    </w:rPr>
  </w:style>
  <w:style w:type="paragraph" w:styleId="annotationsubject1" w:customStyle="1">
    <w:name w:val="annotation subject1"/>
    <w:basedOn w:val="CommentText"/>
    <w:next w:val="CommentText"/>
    <w:link w:val="12"/>
    <w:qFormat/>
    <w:pPr/>
    <w:rPr>
      <w:b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ahoma" w:cs="Noto Sans"/>
      <w:i/>
      <w:color w:val="000000"/>
      <w:kern w:val="0"/>
      <w:sz w:val="24"/>
      <w:szCs w:val="20"/>
      <w:lang w:val="ru-RU" w:eastAsia="zh-CN" w:bidi="hi-IN"/>
    </w:rPr>
  </w:style>
  <w:style w:type="paragraph" w:styleId="ListParagraph1" w:customStyle="1">
    <w:name w:val="List Paragraph1"/>
    <w:basedOn w:val="Normal"/>
    <w:link w:val="13"/>
    <w:qFormat/>
    <w:pPr>
      <w:spacing w:before="0" w:after="200"/>
      <w:ind w:start="720"/>
      <w:contextualSpacing/>
    </w:pPr>
    <w:rPr/>
  </w:style>
  <w:style w:type="paragraph" w:styleId="ListParagraph">
    <w:name w:val="List Paragraph"/>
    <w:basedOn w:val="Normal"/>
    <w:uiPriority w:val="34"/>
    <w:qFormat/>
    <w:rsid w:val="00563b96"/>
    <w:pPr>
      <w:spacing w:before="0" w:after="200"/>
      <w:ind w:start="720"/>
      <w:contextualSpacing/>
    </w:pPr>
    <w:rPr>
      <w:rFonts w:cs="Mangal"/>
    </w:rPr>
  </w:style>
  <w:style w:type="paragraph" w:styleId="annotationsubject">
    <w:name w:val="annotation subject"/>
    <w:basedOn w:val="CommentText"/>
    <w:next w:val="CommentText"/>
    <w:link w:val="Style10"/>
    <w:uiPriority w:val="99"/>
    <w:semiHidden/>
    <w:unhideWhenUsed/>
    <w:qFormat/>
    <w:rsid w:val="00d7736b"/>
    <w:pPr>
      <w:spacing w:lineRule="auto" w:line="240"/>
    </w:pPr>
    <w:rPr>
      <w:rFonts w:cs="Mangal"/>
      <w:b/>
      <w:bCs/>
      <w:szCs w:val="18"/>
    </w:rPr>
  </w:style>
  <w:style w:type="paragraph" w:styleId="Standard">
    <w:name w:val="Standard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Times New Roman" w:hAnsi="Times New Roman" w:eastAsia="Tahoma" w:cs="Noto Sans"/>
      <w:color w:val="000000"/>
      <w:kern w:val="0"/>
      <w:sz w:val="24"/>
      <w:szCs w:val="20"/>
      <w:lang w:val="ru-RU" w:eastAsia="zh-CN" w:bidi="hi-IN"/>
    </w:rPr>
  </w:style>
  <w:style w:type="numbering" w:styleId="Style14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LibreOffice/25.8.7.3$Linux_X86_64 LibreOffice_project/30742500f2d3eb4366ac312fa33d3dcabdb3eba5</Application>
  <AppVersion>15.0000</AppVersion>
  <Pages>5</Pages>
  <Words>2130</Words>
  <Characters>15265</Characters>
  <CharactersWithSpaces>17314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2026-06-17T08:25:00Z</dcterms:created>
  <dc:creator/>
  <dc:description/>
  <dc:language>ru-RU</dc:language>
  <cp:lastModifiedBy/>
  <dcterms:modified xsi:type="dcterms:W3CDTF">2026-08-26T10:19:49Z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